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6FBE" w14:textId="77777777" w:rsidR="008E4518" w:rsidRPr="004E3866" w:rsidRDefault="002C4053" w:rsidP="00774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5F92B3A6" w14:textId="77777777" w:rsidR="000E271F" w:rsidRPr="004E3866" w:rsidRDefault="002C4053" w:rsidP="00774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1A02C92A" w14:textId="77777777" w:rsidR="002C4053" w:rsidRPr="004E3866" w:rsidRDefault="002C4053" w:rsidP="00774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KARYA ILMIAH : </w:t>
      </w:r>
      <w:r w:rsidR="00756E98"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JURNAL ILMIAH</w:t>
      </w:r>
    </w:p>
    <w:p w14:paraId="77EC0C46" w14:textId="737806C9" w:rsidR="008E4518" w:rsidRPr="00917E75" w:rsidRDefault="008E4518" w:rsidP="008E45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A93E9C" w14:textId="77777777" w:rsidR="00051862" w:rsidRPr="00051862" w:rsidRDefault="00051862" w:rsidP="008E45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9FC63A" w14:textId="68DB8F4C" w:rsidR="002C4053" w:rsidRPr="00B504A9" w:rsidRDefault="002C4053" w:rsidP="00854931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34808417"/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Judul  </w:t>
      </w:r>
      <w:r w:rsidR="00756E98" w:rsidRPr="00051862">
        <w:rPr>
          <w:rFonts w:ascii="Times New Roman" w:hAnsi="Times New Roman" w:cs="Times New Roman"/>
          <w:sz w:val="24"/>
          <w:szCs w:val="24"/>
          <w:lang w:val="en-US"/>
        </w:rPr>
        <w:t>Karya Ilmiah (artikel</w: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6E98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Implementation of Text Copy Prevention on Content Management System based Website</w:t>
      </w:r>
    </w:p>
    <w:p w14:paraId="4D846F05" w14:textId="141A1434" w:rsidR="002C4053" w:rsidRPr="00B504A9" w:rsidRDefault="002C4053" w:rsidP="00051862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="00A20F12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4A9">
        <w:rPr>
          <w:rFonts w:ascii="Times New Roman" w:hAnsi="Times New Roman" w:cs="Times New Roman"/>
          <w:color w:val="000000"/>
          <w:sz w:val="24"/>
          <w:szCs w:val="24"/>
          <w:lang w:val="en-US"/>
        </w:rPr>
        <w:t>Aris Marjuni, Ahmad Zainul Fanani, Oky Dwi Nurhayati</w:t>
      </w:r>
    </w:p>
    <w:p w14:paraId="6CA3E563" w14:textId="308F8CB0" w:rsidR="002C4053" w:rsidRPr="00051862" w:rsidRDefault="00A20F12" w:rsidP="00051862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17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3E73F" w14:textId="3BF0D0F1" w:rsidR="002C4053" w:rsidRPr="00051862" w:rsidRDefault="00A20F12" w:rsidP="00051862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bookmarkStart w:id="1" w:name="_Hlk30492769"/>
      <w:r w:rsidR="00F23F79" w:rsidRPr="00940FFE">
        <w:rPr>
          <w:rFonts w:ascii="Times New Roman" w:hAnsi="Times New Roman" w:cs="Times New Roman"/>
          <w:strike/>
          <w:sz w:val="24"/>
          <w:szCs w:val="24"/>
          <w:lang w:val="en-US"/>
        </w:rPr>
        <w:t>P</w:t>
      </w:r>
      <w:r w:rsidR="002C4053" w:rsidRPr="00940FFE">
        <w:rPr>
          <w:rFonts w:ascii="Times New Roman" w:hAnsi="Times New Roman" w:cs="Times New Roman"/>
          <w:strike/>
          <w:sz w:val="24"/>
          <w:szCs w:val="24"/>
          <w:lang w:val="en-US"/>
        </w:rPr>
        <w:t>enulis pertama</w:t>
      </w:r>
      <w:r w:rsidR="004E3866" w:rsidRPr="0043673B">
        <w:rPr>
          <w:rFonts w:ascii="Times New Roman" w:hAnsi="Times New Roman" w:cs="Times New Roman"/>
          <w:sz w:val="24"/>
          <w:szCs w:val="24"/>
        </w:rPr>
        <w:t>/penulis ke</w:t>
      </w:r>
      <w:r w:rsidR="0043673B" w:rsidRPr="0043673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E3866" w:rsidRPr="0043673B">
        <w:rPr>
          <w:rFonts w:ascii="Times New Roman" w:hAnsi="Times New Roman" w:cs="Times New Roman"/>
          <w:sz w:val="24"/>
          <w:szCs w:val="24"/>
        </w:rPr>
        <w:t>/</w:t>
      </w:r>
      <w:r w:rsidR="00756E98"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</w:t>
      </w:r>
      <w:r w:rsidR="005813DC"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*</w:t>
      </w:r>
    </w:p>
    <w:bookmarkEnd w:id="1"/>
    <w:p w14:paraId="0E94022E" w14:textId="77777777" w:rsidR="00051862" w:rsidRDefault="002C4053" w:rsidP="00051862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Identitas </w:t>
      </w:r>
      <w:r w:rsidR="00756E98" w:rsidRPr="00051862">
        <w:rPr>
          <w:rFonts w:ascii="Times New Roman" w:hAnsi="Times New Roman" w:cs="Times New Roman"/>
          <w:sz w:val="24"/>
          <w:szCs w:val="24"/>
          <w:lang w:val="en-US"/>
        </w:rPr>
        <w:t>Jurnal Ilmiah</w:t>
      </w:r>
      <w:r w:rsid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0F12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EB4576" w14:textId="53B8379C" w:rsidR="002C4053" w:rsidRPr="00B504A9" w:rsidRDefault="002C4053" w:rsidP="00917E75">
      <w:pPr>
        <w:pStyle w:val="ListParagraph"/>
        <w:tabs>
          <w:tab w:val="left" w:pos="2970"/>
          <w:tab w:val="left" w:pos="3060"/>
          <w:tab w:val="left" w:pos="3960"/>
        </w:tabs>
        <w:spacing w:after="0" w:line="240" w:lineRule="auto"/>
        <w:ind w:left="4140" w:hanging="360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56E98" w:rsidRPr="00051862">
        <w:rPr>
          <w:rFonts w:ascii="Times New Roman" w:hAnsi="Times New Roman" w:cs="Times New Roman"/>
          <w:sz w:val="24"/>
          <w:szCs w:val="24"/>
          <w:lang w:val="en-US"/>
        </w:rPr>
        <w:t>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7E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7E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04A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518" w:rsidRPr="00B504A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504A9" w:rsidRPr="00B504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Journal of Telecommunication, Electronic and Computer Engineering (JTEC)</w:t>
      </w:r>
    </w:p>
    <w:p w14:paraId="34D49716" w14:textId="3EC81207" w:rsidR="002C4053" w:rsidRPr="00B504A9" w:rsidRDefault="002C4053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756E98" w:rsidRPr="00051862">
        <w:rPr>
          <w:rFonts w:ascii="Times New Roman" w:hAnsi="Times New Roman" w:cs="Times New Roman"/>
          <w:sz w:val="24"/>
          <w:szCs w:val="24"/>
          <w:lang w:val="en-US"/>
        </w:rPr>
        <w:t>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C256C">
        <w:rPr>
          <w:rFonts w:ascii="Times New Roman" w:hAnsi="Times New Roman" w:cs="Times New Roman"/>
          <w:sz w:val="24"/>
          <w:szCs w:val="24"/>
        </w:rPr>
        <w:t>218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C256C">
        <w:rPr>
          <w:rFonts w:ascii="Times New Roman" w:hAnsi="Times New Roman" w:cs="Times New Roman"/>
          <w:sz w:val="24"/>
          <w:szCs w:val="24"/>
        </w:rPr>
        <w:t>-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1843</w:t>
      </w:r>
      <w:r w:rsidR="001E39F5">
        <w:rPr>
          <w:rFonts w:ascii="Times New Roman" w:hAnsi="Times New Roman" w:cs="Times New Roman"/>
          <w:sz w:val="24"/>
          <w:szCs w:val="24"/>
          <w:lang w:val="en-US"/>
        </w:rPr>
        <w:t>, eISSN: 2289-8131</w:t>
      </w:r>
    </w:p>
    <w:p w14:paraId="5AB4EAF3" w14:textId="6E4543DA" w:rsidR="002C4053" w:rsidRPr="001E39F5" w:rsidRDefault="00756E98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309AB" w:rsidRPr="00051862">
        <w:rPr>
          <w:rFonts w:ascii="Times New Roman" w:hAnsi="Times New Roman" w:cs="Times New Roman"/>
          <w:sz w:val="24"/>
          <w:szCs w:val="24"/>
          <w:lang w:val="en-US"/>
        </w:rPr>
        <w:t>Vol. 1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309AB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="004C256C">
        <w:rPr>
          <w:rFonts w:ascii="Times New Roman" w:hAnsi="Times New Roman" w:cs="Times New Roman"/>
          <w:sz w:val="24"/>
          <w:szCs w:val="24"/>
        </w:rPr>
        <w:t>2</w:t>
      </w:r>
      <w:r w:rsidR="00B504A9">
        <w:rPr>
          <w:rFonts w:ascii="Times New Roman" w:hAnsi="Times New Roman" w:cs="Times New Roman"/>
          <w:sz w:val="24"/>
          <w:szCs w:val="24"/>
          <w:lang w:val="en-US"/>
        </w:rPr>
        <w:t>-4</w:t>
      </w:r>
      <w:r w:rsidR="009309AB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39F5">
        <w:rPr>
          <w:rFonts w:ascii="Times New Roman" w:hAnsi="Times New Roman" w:cs="Times New Roman"/>
          <w:sz w:val="24"/>
          <w:szCs w:val="24"/>
          <w:lang w:val="en-US"/>
        </w:rPr>
        <w:t>2018, pp. 119-123</w:t>
      </w:r>
    </w:p>
    <w:p w14:paraId="69A662D0" w14:textId="3B98F2B5" w:rsidR="002C4053" w:rsidRPr="001E39F5" w:rsidRDefault="00BA4F94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Penerbit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</w:rPr>
        <w:t xml:space="preserve">  </w:t>
      </w:r>
      <w:r w:rsidR="00051862">
        <w:rPr>
          <w:rFonts w:ascii="Times New Roman" w:hAnsi="Times New Roman" w:cs="Times New Roman"/>
          <w:sz w:val="24"/>
          <w:szCs w:val="24"/>
        </w:rPr>
        <w:tab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518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39F5">
        <w:rPr>
          <w:rFonts w:ascii="Times New Roman" w:hAnsi="Times New Roman" w:cs="Times New Roman"/>
          <w:sz w:val="24"/>
          <w:szCs w:val="24"/>
          <w:lang w:val="en-US"/>
        </w:rPr>
        <w:t>Faculty of Electronic and Computer Engineering (FKEKK), Universiti Teknikal Malaysia Melaka (UTeM)</w:t>
      </w:r>
    </w:p>
    <w:p w14:paraId="5D313E09" w14:textId="09CD0670" w:rsidR="009309AB" w:rsidRPr="00051862" w:rsidRDefault="002C4053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e.  </w:t>
      </w:r>
      <w:r w:rsidR="00370B4F" w:rsidRPr="00051862">
        <w:rPr>
          <w:rFonts w:ascii="Times New Roman" w:hAnsi="Times New Roman" w:cs="Times New Roman"/>
          <w:sz w:val="24"/>
          <w:szCs w:val="24"/>
          <w:lang w:val="en-US"/>
        </w:rPr>
        <w:t>DOI artikel (jika ada)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917E75">
        <w:rPr>
          <w:rFonts w:ascii="Times New Roman" w:hAnsi="Times New Roman" w:cs="Times New Roman"/>
          <w:sz w:val="24"/>
          <w:szCs w:val="24"/>
        </w:rPr>
        <w:t xml:space="preserve"> </w:t>
      </w:r>
      <w:r w:rsidR="00940FFE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6CE02C8D" w14:textId="41B27F20" w:rsidR="00370B4F" w:rsidRPr="00051862" w:rsidRDefault="00370B4F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917E75">
        <w:rPr>
          <w:rFonts w:ascii="Times New Roman" w:hAnsi="Times New Roman" w:cs="Times New Roman"/>
          <w:sz w:val="24"/>
          <w:szCs w:val="24"/>
        </w:rPr>
        <w:t xml:space="preserve"> </w:t>
      </w:r>
      <w:r w:rsidR="00B504A9" w:rsidRPr="00B504A9">
        <w:rPr>
          <w:rFonts w:ascii="Times New Roman" w:hAnsi="Times New Roman" w:cs="Times New Roman"/>
          <w:sz w:val="24"/>
          <w:szCs w:val="24"/>
        </w:rPr>
        <w:t>https://journal.utem.edu.my/index.php/jtec/</w:t>
      </w:r>
    </w:p>
    <w:p w14:paraId="6F1A07D8" w14:textId="781003E0" w:rsidR="00370B4F" w:rsidRPr="00051862" w:rsidRDefault="00370B4F" w:rsidP="00051862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</w:p>
    <w:p w14:paraId="50376FD4" w14:textId="7F574B49" w:rsidR="0043673B" w:rsidRDefault="0043673B" w:rsidP="00EA2367">
      <w:pPr>
        <w:pStyle w:val="ListParagraph"/>
        <w:numPr>
          <w:ilvl w:val="0"/>
          <w:numId w:val="19"/>
        </w:numPr>
        <w:spacing w:after="0" w:line="240" w:lineRule="auto"/>
        <w:ind w:left="1134" w:hanging="218"/>
        <w:rPr>
          <w:rFonts w:ascii="Times New Roman" w:hAnsi="Times New Roman" w:cs="Times New Roman"/>
          <w:sz w:val="24"/>
          <w:szCs w:val="24"/>
          <w:lang w:val="en-US"/>
        </w:rPr>
      </w:pPr>
      <w:r w:rsidRPr="0043673B">
        <w:rPr>
          <w:rFonts w:ascii="Times New Roman" w:hAnsi="Times New Roman" w:cs="Times New Roman"/>
          <w:sz w:val="24"/>
          <w:szCs w:val="24"/>
          <w:lang w:val="en-US"/>
        </w:rPr>
        <w:t>Scopus (</w:t>
      </w:r>
      <w:hyperlink r:id="rId7" w:history="1">
        <w:r w:rsidRPr="00183E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http://www.scopus.comlsourceid/21100332206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8313DB5" w14:textId="0B58D5F7" w:rsidR="0043673B" w:rsidRDefault="0043673B" w:rsidP="00EA2367">
      <w:pPr>
        <w:pStyle w:val="ListParagraph"/>
        <w:numPr>
          <w:ilvl w:val="0"/>
          <w:numId w:val="19"/>
        </w:numPr>
        <w:spacing w:after="0" w:line="240" w:lineRule="auto"/>
        <w:ind w:left="1134" w:hanging="218"/>
        <w:rPr>
          <w:rFonts w:ascii="Times New Roman" w:hAnsi="Times New Roman" w:cs="Times New Roman"/>
          <w:sz w:val="24"/>
          <w:szCs w:val="24"/>
          <w:lang w:val="en-US"/>
        </w:rPr>
      </w:pPr>
      <w:r w:rsidRPr="0043673B">
        <w:rPr>
          <w:rFonts w:ascii="Times New Roman" w:hAnsi="Times New Roman" w:cs="Times New Roman"/>
          <w:sz w:val="24"/>
          <w:szCs w:val="24"/>
          <w:lang w:val="en-US"/>
        </w:rPr>
        <w:t>Scimagojr Q4 (</w:t>
      </w:r>
      <w:hyperlink r:id="rId8" w:history="1">
        <w:r w:rsidRPr="00183ED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https://www.scimagojr.com/journalsearch.php?q=21100332206&amp;tip=sid&amp;clean=0</w:t>
        </w:r>
      </w:hyperlink>
      <w:r w:rsidRPr="0043673B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0D3A5493" w14:textId="3F1DDF65" w:rsidR="0043673B" w:rsidRPr="0043673B" w:rsidRDefault="0043673B" w:rsidP="00EA2367">
      <w:pPr>
        <w:pStyle w:val="ListParagraph"/>
        <w:numPr>
          <w:ilvl w:val="0"/>
          <w:numId w:val="19"/>
        </w:numPr>
        <w:spacing w:after="0" w:line="240" w:lineRule="auto"/>
        <w:ind w:left="1134" w:hanging="2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73B">
        <w:rPr>
          <w:rFonts w:ascii="Times New Roman" w:hAnsi="Times New Roman" w:cs="Times New Roman"/>
          <w:sz w:val="24"/>
          <w:szCs w:val="24"/>
          <w:lang w:val="en-US"/>
        </w:rPr>
        <w:t>Lainnya: ASEA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 xml:space="preserve"> Citation Index (AC</w:t>
      </w:r>
      <w:r>
        <w:rPr>
          <w:rFonts w:ascii="Times New Roman" w:hAnsi="Times New Roman" w:cs="Times New Roman"/>
          <w:sz w:val="24"/>
          <w:szCs w:val="24"/>
          <w:lang w:val="en-US"/>
        </w:rPr>
        <w:t>I)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>, Google Scholar, English Journal Citation Reports (EJCR) by Islamic World Science Citatio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 xml:space="preserve"> Center </w:t>
      </w:r>
      <w:r>
        <w:rPr>
          <w:rFonts w:ascii="Times New Roman" w:hAnsi="Times New Roman" w:cs="Times New Roman"/>
          <w:sz w:val="24"/>
          <w:szCs w:val="24"/>
          <w:lang w:val="en-US"/>
        </w:rPr>
        <w:t>(I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 xml:space="preserve">SC), Directory of Open Access </w:t>
      </w:r>
      <w:r w:rsidR="00EA23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>cholarly Resources (ROA</w:t>
      </w:r>
      <w:r w:rsidR="00EA23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>), University Grants Commission (UGC) Approved List of Journals, Malaysian Journal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EA236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3673B">
        <w:rPr>
          <w:rFonts w:ascii="Times New Roman" w:hAnsi="Times New Roman" w:cs="Times New Roman"/>
          <w:sz w:val="24"/>
          <w:szCs w:val="24"/>
          <w:lang w:val="en-US"/>
        </w:rPr>
        <w:t>MYJurnal), Malaysian Citation Index (MYCite).</w:t>
      </w:r>
    </w:p>
    <w:p w14:paraId="47851981" w14:textId="77777777" w:rsidR="0043673B" w:rsidRPr="00051862" w:rsidRDefault="0043673B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526B2635" w:rsidR="002C4053" w:rsidRPr="00051862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Wingdings 2" w:char="F050"/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Jurnal Ilmiah </w:t>
      </w:r>
      <w:r w:rsidR="002D3A46" w:rsidRPr="00DB6FB3">
        <w:rPr>
          <w:rFonts w:ascii="Times New Roman" w:hAnsi="Times New Roman" w:cs="Times New Roman"/>
          <w:strike/>
          <w:sz w:val="24"/>
          <w:szCs w:val="24"/>
          <w:lang w:val="en-US"/>
        </w:rPr>
        <w:t>Internasional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D3A46" w:rsidRPr="00DB6FB3">
        <w:rPr>
          <w:rFonts w:ascii="Times New Roman" w:hAnsi="Times New Roman" w:cs="Times New Roman"/>
          <w:sz w:val="24"/>
          <w:szCs w:val="24"/>
          <w:lang w:val="en-US"/>
        </w:rPr>
        <w:t>Internasional bereputasi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3D9F82" w14:textId="18A4D8E8" w:rsidR="002C4053" w:rsidRPr="00051862" w:rsidRDefault="002F3EE3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A194E" wp14:editId="2C976C33">
                <wp:simplePos x="0" y="0"/>
                <wp:positionH relativeFrom="column">
                  <wp:posOffset>1454454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76FE" id="Rectangle 26" o:spid="_x0000_s1026" style="position:absolute;margin-left:114.5pt;margin-top:3.4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DM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l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"/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4E4319E4" w:rsidR="002C4053" w:rsidRPr="00051862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5C98C890">
                <wp:simplePos x="0" y="0"/>
                <wp:positionH relativeFrom="column">
                  <wp:posOffset>1454454</wp:posOffset>
                </wp:positionH>
                <wp:positionV relativeFrom="paragraph">
                  <wp:posOffset>47625</wp:posOffset>
                </wp:positionV>
                <wp:extent cx="90805" cy="90805"/>
                <wp:effectExtent l="0" t="0" r="2349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01A3B" id="Rectangle 8" o:spid="_x0000_s1026" style="position:absolute;margin-left:114.5pt;margin-top:3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c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z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"/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Nasional/Nasional teri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>ndeks di DOAJ, CABI, COPERNICUS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2970"/>
        <w:gridCol w:w="1701"/>
        <w:gridCol w:w="1530"/>
        <w:gridCol w:w="1622"/>
        <w:gridCol w:w="1355"/>
        <w:gridCol w:w="36"/>
      </w:tblGrid>
      <w:tr w:rsidR="00E96B7E" w:rsidRPr="00051862" w14:paraId="0D7E5E33" w14:textId="77777777" w:rsidTr="001E39F5">
        <w:trPr>
          <w:gridAfter w:val="1"/>
          <w:wAfter w:w="34" w:type="dxa"/>
        </w:trPr>
        <w:tc>
          <w:tcPr>
            <w:tcW w:w="2972" w:type="dxa"/>
            <w:vMerge w:val="restart"/>
          </w:tcPr>
          <w:bookmarkEnd w:id="0"/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853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5" w:type="dxa"/>
            <w:vMerge w:val="restart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1E39F5">
        <w:trPr>
          <w:gridAfter w:val="1"/>
          <w:wAfter w:w="36" w:type="dxa"/>
        </w:trPr>
        <w:tc>
          <w:tcPr>
            <w:tcW w:w="2972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B3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International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620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5" w:type="dxa"/>
            <w:vMerge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2AE" w:rsidRPr="00051862" w14:paraId="6F172A5E" w14:textId="77777777" w:rsidTr="001E39F5">
        <w:trPr>
          <w:gridAfter w:val="1"/>
          <w:wAfter w:w="36" w:type="dxa"/>
        </w:trPr>
        <w:tc>
          <w:tcPr>
            <w:tcW w:w="2972" w:type="dxa"/>
          </w:tcPr>
          <w:p w14:paraId="03B2DE25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701" w:type="dxa"/>
            <w:vAlign w:val="center"/>
          </w:tcPr>
          <w:p w14:paraId="0000F003" w14:textId="0B482B69" w:rsidR="001822AE" w:rsidRPr="001E39F5" w:rsidRDefault="00940FF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4)/2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1E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(10%*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E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vAlign w:val="center"/>
          </w:tcPr>
          <w:p w14:paraId="3F0449E7" w14:textId="0DFF808C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940035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22D8B7FD" w14:textId="76A04B0B" w:rsidR="001822AE" w:rsidRPr="00EA2367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909ADB9" w14:textId="77777777" w:rsidTr="001E39F5">
        <w:trPr>
          <w:gridAfter w:val="1"/>
          <w:wAfter w:w="36" w:type="dxa"/>
        </w:trPr>
        <w:tc>
          <w:tcPr>
            <w:tcW w:w="2972" w:type="dxa"/>
          </w:tcPr>
          <w:p w14:paraId="66C1409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701" w:type="dxa"/>
            <w:vAlign w:val="center"/>
          </w:tcPr>
          <w:p w14:paraId="1ED80F84" w14:textId="25FDA3A8" w:rsidR="001822AE" w:rsidRPr="001E39F5" w:rsidRDefault="00940FF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4)/2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1E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E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822AE"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1D7FDF0" w14:textId="1DF329F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635C8DD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4867969C" w14:textId="7E6BE27F" w:rsidR="001822AE" w:rsidRPr="00051862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AE" w:rsidRPr="00051862" w14:paraId="381366CC" w14:textId="77777777" w:rsidTr="001E39F5">
        <w:trPr>
          <w:gridAfter w:val="1"/>
          <w:wAfter w:w="36" w:type="dxa"/>
        </w:trPr>
        <w:tc>
          <w:tcPr>
            <w:tcW w:w="2972" w:type="dxa"/>
          </w:tcPr>
          <w:p w14:paraId="135A5DE3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701" w:type="dxa"/>
            <w:vAlign w:val="center"/>
          </w:tcPr>
          <w:p w14:paraId="0CD0927A" w14:textId="057A7F9D" w:rsidR="001822AE" w:rsidRPr="00051862" w:rsidRDefault="00940FF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4)/2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687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87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389010F6" w14:textId="149EB26B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9E78184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116057C2" w14:textId="0BDD2BEF" w:rsidR="001822AE" w:rsidRPr="00EA2367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33972BFE" w14:textId="77777777" w:rsidTr="001E39F5">
        <w:trPr>
          <w:gridAfter w:val="1"/>
          <w:wAfter w:w="36" w:type="dxa"/>
        </w:trPr>
        <w:tc>
          <w:tcPr>
            <w:tcW w:w="2972" w:type="dxa"/>
          </w:tcPr>
          <w:p w14:paraId="5B5B783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Kelengkapan unsur dan kualitas terbitan/jurnal (30%)</w:t>
            </w:r>
          </w:p>
        </w:tc>
        <w:tc>
          <w:tcPr>
            <w:tcW w:w="1701" w:type="dxa"/>
            <w:vAlign w:val="center"/>
          </w:tcPr>
          <w:p w14:paraId="5F2013EC" w14:textId="6111A24F" w:rsidR="001822AE" w:rsidRPr="00051862" w:rsidRDefault="00940FF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4)/2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687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87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876A4"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6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vAlign w:val="center"/>
          </w:tcPr>
          <w:p w14:paraId="6CA9302E" w14:textId="272F6EB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1AA40AF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6B8049AC" w14:textId="3EEB24CD" w:rsidR="001822AE" w:rsidRPr="00EA2367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563EEB2C" w14:textId="77777777" w:rsidTr="00A502DB">
        <w:trPr>
          <w:gridAfter w:val="1"/>
          <w:wAfter w:w="36" w:type="dxa"/>
          <w:trHeight w:val="149"/>
        </w:trPr>
        <w:tc>
          <w:tcPr>
            <w:tcW w:w="2972" w:type="dxa"/>
          </w:tcPr>
          <w:p w14:paraId="497F8750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701" w:type="dxa"/>
            <w:vAlign w:val="center"/>
          </w:tcPr>
          <w:p w14:paraId="3C76F250" w14:textId="73E6504B" w:rsidR="001822AE" w:rsidRPr="006876A4" w:rsidRDefault="001822AE" w:rsidP="00182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3AB045" w14:textId="61B82785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890C4C" w14:textId="77777777" w:rsidR="001822AE" w:rsidRPr="00051862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3CA9B985" w14:textId="60067C95" w:rsidR="001822AE" w:rsidRPr="00EA2367" w:rsidRDefault="001822AE" w:rsidP="0096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1E39F5">
        <w:trPr>
          <w:gridAfter w:val="1"/>
          <w:wAfter w:w="36" w:type="dxa"/>
        </w:trPr>
        <w:tc>
          <w:tcPr>
            <w:tcW w:w="2972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701" w:type="dxa"/>
            <w:vAlign w:val="center"/>
          </w:tcPr>
          <w:p w14:paraId="55049385" w14:textId="3A071B23" w:rsidR="001822AE" w:rsidRPr="006876A4" w:rsidRDefault="00DB6FB3" w:rsidP="00687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0" w:type="dxa"/>
            <w:vAlign w:val="center"/>
          </w:tcPr>
          <w:p w14:paraId="2B9C3CB8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D22BCC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50E6F97D" w14:textId="5DEF900E" w:rsidR="001822AE" w:rsidRPr="00EA2367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1E39F5">
        <w:tc>
          <w:tcPr>
            <w:tcW w:w="9214" w:type="dxa"/>
            <w:gridSpan w:val="6"/>
          </w:tcPr>
          <w:p w14:paraId="6E1E638C" w14:textId="33EB33A8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7199CAA7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17561" w14:textId="77777777" w:rsidR="00DB6FB3" w:rsidRPr="00DB6FB3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74EB59D0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719D41E" w14:textId="77777777" w:rsidR="00DB6FB3" w:rsidRPr="00DB6FB3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2759B24C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056A2" w14:textId="77777777" w:rsidR="00DB6FB3" w:rsidRPr="00DB6FB3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26B59" w14:textId="5FB18035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EEC8A94" w14:textId="77777777" w:rsidR="00DB6FB3" w:rsidRPr="00DB6FB3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D286D" w14:textId="62324E23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DFCBD7" w14:textId="77777777" w:rsidR="00DB6FB3" w:rsidRPr="00DB6FB3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9C0D66" w14:textId="47BAF1EC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4C791D77" w14:textId="5444130F" w:rsidR="00DB6FB3" w:rsidRPr="00051862" w:rsidRDefault="00DB6FB3" w:rsidP="00DB6FB3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6033B73" w14:textId="7F36DBEF" w:rsidR="0050487B" w:rsidRPr="00FE0D59" w:rsidRDefault="0050487B" w:rsidP="005048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38134393"/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DB6FB3">
        <w:rPr>
          <w:rFonts w:ascii="Times New Roman" w:hAnsi="Times New Roman" w:cs="Times New Roman"/>
          <w:sz w:val="24"/>
          <w:szCs w:val="24"/>
          <w:lang w:val="en-US"/>
        </w:rPr>
        <w:t xml:space="preserve">4 Mei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350C7615" w14:textId="77777777" w:rsidR="0050487B" w:rsidRPr="00766EF7" w:rsidRDefault="0050487B" w:rsidP="005048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3A1ACC29" w14:textId="77777777" w:rsidR="0050487B" w:rsidRDefault="0050487B" w:rsidP="005048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171424" w14:textId="77777777" w:rsidR="0050487B" w:rsidRPr="00766EF7" w:rsidRDefault="0050487B" w:rsidP="0050487B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D6C7B59" w14:textId="5F15D943" w:rsidR="0050487B" w:rsidRPr="00D7018D" w:rsidRDefault="0050487B" w:rsidP="0050487B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25C4F01B" w14:textId="643CBD86" w:rsidR="0050487B" w:rsidRPr="00766EF7" w:rsidRDefault="0050487B" w:rsidP="0050487B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F3C0F6F" w14:textId="093FA3E3" w:rsidR="0050487B" w:rsidRPr="00766EF7" w:rsidRDefault="0050487B" w:rsidP="0050487B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E28BDB7" w14:textId="697EE5A6" w:rsidR="0050487B" w:rsidRPr="00766EF7" w:rsidRDefault="0050487B" w:rsidP="0050487B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443CF542" w:rsidR="00C10AD7" w:rsidRPr="00051862" w:rsidRDefault="0050487B" w:rsidP="0050487B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2"/>
    </w:p>
    <w:p w14:paraId="484BC85B" w14:textId="7E5F1ADA" w:rsidR="00D63D45" w:rsidRPr="00051862" w:rsidRDefault="00D63D45" w:rsidP="00543E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GoBack"/>
      <w:bookmarkEnd w:id="3"/>
    </w:p>
    <w:sectPr w:rsidR="00D63D45" w:rsidRPr="00051862" w:rsidSect="00BE64FE">
      <w:headerReference w:type="default" r:id="rId9"/>
      <w:footerReference w:type="default" r:id="rId10"/>
      <w:pgSz w:w="11906" w:h="16838"/>
      <w:pgMar w:top="1170" w:right="1440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3488" w14:textId="77777777" w:rsidR="003E7946" w:rsidRDefault="003E7946" w:rsidP="00F52D23">
      <w:pPr>
        <w:spacing w:after="0" w:line="240" w:lineRule="auto"/>
      </w:pPr>
      <w:r>
        <w:separator/>
      </w:r>
    </w:p>
  </w:endnote>
  <w:endnote w:type="continuationSeparator" w:id="0">
    <w:p w14:paraId="4EDF2E6D" w14:textId="77777777" w:rsidR="003E7946" w:rsidRDefault="003E7946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A49C4" w:rsidRPr="00377120" w:rsidRDefault="003A49C4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097F" w14:textId="77777777" w:rsidR="003E7946" w:rsidRDefault="003E7946" w:rsidP="00F52D23">
      <w:pPr>
        <w:spacing w:after="0" w:line="240" w:lineRule="auto"/>
      </w:pPr>
      <w:r>
        <w:separator/>
      </w:r>
    </w:p>
  </w:footnote>
  <w:footnote w:type="continuationSeparator" w:id="0">
    <w:p w14:paraId="3259270C" w14:textId="77777777" w:rsidR="003E7946" w:rsidRDefault="003E7946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3A49C4" w:rsidRDefault="003A49C4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3A49C4" w:rsidRDefault="003A49C4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3A49C4" w:rsidRDefault="003A49C4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4E3"/>
    <w:multiLevelType w:val="hybridMultilevel"/>
    <w:tmpl w:val="4B0C9B00"/>
    <w:lvl w:ilvl="0" w:tplc="1700B25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2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4"/>
  </w:num>
  <w:num w:numId="5">
    <w:abstractNumId w:val="18"/>
  </w:num>
  <w:num w:numId="6">
    <w:abstractNumId w:val="16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862"/>
    <w:rsid w:val="000640AC"/>
    <w:rsid w:val="0007574F"/>
    <w:rsid w:val="00087AFB"/>
    <w:rsid w:val="000A1A2E"/>
    <w:rsid w:val="000A28DE"/>
    <w:rsid w:val="000C686A"/>
    <w:rsid w:val="000D2B5E"/>
    <w:rsid w:val="000D34C5"/>
    <w:rsid w:val="000D4882"/>
    <w:rsid w:val="000E271F"/>
    <w:rsid w:val="0012428D"/>
    <w:rsid w:val="00136389"/>
    <w:rsid w:val="00142330"/>
    <w:rsid w:val="00144909"/>
    <w:rsid w:val="00145176"/>
    <w:rsid w:val="00170405"/>
    <w:rsid w:val="0018109D"/>
    <w:rsid w:val="001822AE"/>
    <w:rsid w:val="00184F33"/>
    <w:rsid w:val="001C5A56"/>
    <w:rsid w:val="001D150C"/>
    <w:rsid w:val="001E16F7"/>
    <w:rsid w:val="001E39F5"/>
    <w:rsid w:val="002279A6"/>
    <w:rsid w:val="00243CF2"/>
    <w:rsid w:val="00243D3D"/>
    <w:rsid w:val="002456E3"/>
    <w:rsid w:val="002466D6"/>
    <w:rsid w:val="00252987"/>
    <w:rsid w:val="00253CE3"/>
    <w:rsid w:val="002772A0"/>
    <w:rsid w:val="00281A98"/>
    <w:rsid w:val="002A4732"/>
    <w:rsid w:val="002C4053"/>
    <w:rsid w:val="002D010B"/>
    <w:rsid w:val="002D3A46"/>
    <w:rsid w:val="002E4F9A"/>
    <w:rsid w:val="002F3EE3"/>
    <w:rsid w:val="003163D8"/>
    <w:rsid w:val="003336B0"/>
    <w:rsid w:val="00340D27"/>
    <w:rsid w:val="0034797A"/>
    <w:rsid w:val="00355F53"/>
    <w:rsid w:val="00362CE9"/>
    <w:rsid w:val="00370B4F"/>
    <w:rsid w:val="00377120"/>
    <w:rsid w:val="00381CFB"/>
    <w:rsid w:val="003902C5"/>
    <w:rsid w:val="003A49C4"/>
    <w:rsid w:val="003B53E9"/>
    <w:rsid w:val="003D11BF"/>
    <w:rsid w:val="003E0531"/>
    <w:rsid w:val="003E214E"/>
    <w:rsid w:val="003E3570"/>
    <w:rsid w:val="003E69AE"/>
    <w:rsid w:val="003E7946"/>
    <w:rsid w:val="003E7AAB"/>
    <w:rsid w:val="003F5581"/>
    <w:rsid w:val="003F7882"/>
    <w:rsid w:val="00434686"/>
    <w:rsid w:val="0043673B"/>
    <w:rsid w:val="00441002"/>
    <w:rsid w:val="00471AF9"/>
    <w:rsid w:val="0049123B"/>
    <w:rsid w:val="00491A39"/>
    <w:rsid w:val="004B7EFB"/>
    <w:rsid w:val="004C256C"/>
    <w:rsid w:val="004E3866"/>
    <w:rsid w:val="0050487B"/>
    <w:rsid w:val="00511E70"/>
    <w:rsid w:val="00517CD7"/>
    <w:rsid w:val="00543E01"/>
    <w:rsid w:val="0055215F"/>
    <w:rsid w:val="0055755A"/>
    <w:rsid w:val="00557950"/>
    <w:rsid w:val="005800B8"/>
    <w:rsid w:val="005813DC"/>
    <w:rsid w:val="00583F9E"/>
    <w:rsid w:val="00584BA8"/>
    <w:rsid w:val="005B05F7"/>
    <w:rsid w:val="005C50DC"/>
    <w:rsid w:val="005E4708"/>
    <w:rsid w:val="005F1C15"/>
    <w:rsid w:val="006207AF"/>
    <w:rsid w:val="00622C5A"/>
    <w:rsid w:val="00654CA2"/>
    <w:rsid w:val="00655E5F"/>
    <w:rsid w:val="00676B6E"/>
    <w:rsid w:val="006876A4"/>
    <w:rsid w:val="006B2557"/>
    <w:rsid w:val="006B58FF"/>
    <w:rsid w:val="006D7292"/>
    <w:rsid w:val="006E5F15"/>
    <w:rsid w:val="006F747A"/>
    <w:rsid w:val="00700645"/>
    <w:rsid w:val="00703232"/>
    <w:rsid w:val="007104DE"/>
    <w:rsid w:val="0071757F"/>
    <w:rsid w:val="00744E17"/>
    <w:rsid w:val="00746E4A"/>
    <w:rsid w:val="00746FD2"/>
    <w:rsid w:val="00756E98"/>
    <w:rsid w:val="00774248"/>
    <w:rsid w:val="0077441F"/>
    <w:rsid w:val="007835C1"/>
    <w:rsid w:val="00786E21"/>
    <w:rsid w:val="00795CAA"/>
    <w:rsid w:val="007C7D13"/>
    <w:rsid w:val="007E6DF8"/>
    <w:rsid w:val="007F45E2"/>
    <w:rsid w:val="00804013"/>
    <w:rsid w:val="008406FA"/>
    <w:rsid w:val="0084147B"/>
    <w:rsid w:val="00854931"/>
    <w:rsid w:val="008D1B59"/>
    <w:rsid w:val="008E0638"/>
    <w:rsid w:val="008E4518"/>
    <w:rsid w:val="00917E75"/>
    <w:rsid w:val="009309AB"/>
    <w:rsid w:val="00931C07"/>
    <w:rsid w:val="00934B88"/>
    <w:rsid w:val="00940FFE"/>
    <w:rsid w:val="00964569"/>
    <w:rsid w:val="00964C89"/>
    <w:rsid w:val="00974761"/>
    <w:rsid w:val="0097570A"/>
    <w:rsid w:val="00993C0E"/>
    <w:rsid w:val="009B0A66"/>
    <w:rsid w:val="009D43A5"/>
    <w:rsid w:val="00A20F12"/>
    <w:rsid w:val="00A272F2"/>
    <w:rsid w:val="00A302F6"/>
    <w:rsid w:val="00A30A78"/>
    <w:rsid w:val="00A30B1C"/>
    <w:rsid w:val="00A32F51"/>
    <w:rsid w:val="00A502DB"/>
    <w:rsid w:val="00A752D1"/>
    <w:rsid w:val="00AB1025"/>
    <w:rsid w:val="00AB17E9"/>
    <w:rsid w:val="00AD5D77"/>
    <w:rsid w:val="00B12626"/>
    <w:rsid w:val="00B1714A"/>
    <w:rsid w:val="00B22403"/>
    <w:rsid w:val="00B232C7"/>
    <w:rsid w:val="00B504A9"/>
    <w:rsid w:val="00BA4F94"/>
    <w:rsid w:val="00BB2DE5"/>
    <w:rsid w:val="00BD30A6"/>
    <w:rsid w:val="00BE64FE"/>
    <w:rsid w:val="00BF2CBB"/>
    <w:rsid w:val="00C10AD7"/>
    <w:rsid w:val="00C2347E"/>
    <w:rsid w:val="00C34927"/>
    <w:rsid w:val="00C435B2"/>
    <w:rsid w:val="00C43AC4"/>
    <w:rsid w:val="00C557EF"/>
    <w:rsid w:val="00C75030"/>
    <w:rsid w:val="00C96D4D"/>
    <w:rsid w:val="00CA31CE"/>
    <w:rsid w:val="00CA6A9C"/>
    <w:rsid w:val="00CB583D"/>
    <w:rsid w:val="00CC1204"/>
    <w:rsid w:val="00CD501D"/>
    <w:rsid w:val="00CD67C8"/>
    <w:rsid w:val="00CE15BA"/>
    <w:rsid w:val="00D101F2"/>
    <w:rsid w:val="00D10722"/>
    <w:rsid w:val="00D17C18"/>
    <w:rsid w:val="00D17E63"/>
    <w:rsid w:val="00D63D45"/>
    <w:rsid w:val="00D82130"/>
    <w:rsid w:val="00D85177"/>
    <w:rsid w:val="00DA6ABA"/>
    <w:rsid w:val="00DB6FB3"/>
    <w:rsid w:val="00DD594E"/>
    <w:rsid w:val="00E136B4"/>
    <w:rsid w:val="00E177E5"/>
    <w:rsid w:val="00E510FD"/>
    <w:rsid w:val="00E61BC7"/>
    <w:rsid w:val="00E74DF4"/>
    <w:rsid w:val="00E8053B"/>
    <w:rsid w:val="00E96B7E"/>
    <w:rsid w:val="00EA2367"/>
    <w:rsid w:val="00F12B2F"/>
    <w:rsid w:val="00F23F79"/>
    <w:rsid w:val="00F2637A"/>
    <w:rsid w:val="00F36A2D"/>
    <w:rsid w:val="00F52D23"/>
    <w:rsid w:val="00F629A4"/>
    <w:rsid w:val="00F6664C"/>
    <w:rsid w:val="00F92A2D"/>
    <w:rsid w:val="00FA1F85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61CF083D-84CD-4D3F-AAC6-57F5FC3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6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6C"/>
    <w:rPr>
      <w:rFonts w:asciiTheme="majorHAnsi" w:eastAsiaTheme="majorEastAsia" w:hAnsiTheme="majorHAnsi" w:cstheme="majorBidi"/>
      <w:noProof/>
      <w:color w:val="365F91" w:themeColor="accent1" w:themeShade="BF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search.php?q=21100332206&amp;tip=sid&amp;clean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lsourceid/21100332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Kepeg-Eny</dc:creator>
  <cp:lastModifiedBy>asus</cp:lastModifiedBy>
  <cp:revision>10</cp:revision>
  <cp:lastPrinted>2020-03-11T16:35:00Z</cp:lastPrinted>
  <dcterms:created xsi:type="dcterms:W3CDTF">2020-03-19T15:09:00Z</dcterms:created>
  <dcterms:modified xsi:type="dcterms:W3CDTF">2020-05-04T15:48:00Z</dcterms:modified>
</cp:coreProperties>
</file>